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0"/>
          <w:szCs w:val="30"/>
        </w:rPr>
      </w:pPr>
      <w:r>
        <w:rPr>
          <w:rFonts w:hint="eastAsia" w:ascii="宋体" w:hAnsi="宋体" w:cs="宋体"/>
          <w:b/>
          <w:sz w:val="30"/>
          <w:szCs w:val="30"/>
        </w:rPr>
        <w:t xml:space="preserve">东南大学成贤学院 </w:t>
      </w:r>
      <w:r>
        <w:rPr>
          <w:rFonts w:hint="eastAsia" w:ascii="宋体" w:hAnsi="宋体" w:cs="宋体"/>
          <w:b/>
          <w:sz w:val="30"/>
          <w:szCs w:val="30"/>
          <w:u w:val="single"/>
        </w:rPr>
        <w:t xml:space="preserve">制药工程 </w:t>
      </w:r>
      <w:r>
        <w:rPr>
          <w:rFonts w:hint="eastAsia" w:ascii="宋体" w:hAnsi="宋体" w:cs="宋体"/>
          <w:b/>
          <w:sz w:val="30"/>
          <w:szCs w:val="30"/>
        </w:rPr>
        <w:t>本科专业培养方案</w:t>
      </w:r>
    </w:p>
    <w:p>
      <w:pPr>
        <w:spacing w:beforeLines="50" w:line="440" w:lineRule="exact"/>
        <w:ind w:firstLine="720" w:firstLineChars="300"/>
        <w:jc w:val="both"/>
        <w:rPr>
          <w:rFonts w:ascii="宋体" w:hAnsi="宋体" w:cs="宋体"/>
          <w:b/>
          <w:sz w:val="24"/>
        </w:rPr>
      </w:pPr>
      <w:bookmarkStart w:id="0" w:name="OLE_LINK1"/>
      <w:r>
        <w:rPr>
          <w:rFonts w:hint="eastAsia" w:ascii="宋体" w:hAnsi="宋体" w:cs="宋体"/>
          <w:b/>
          <w:sz w:val="24"/>
        </w:rPr>
        <w:t>门类：</w:t>
      </w:r>
      <w:r>
        <w:rPr>
          <w:rFonts w:hint="eastAsia" w:ascii="宋体" w:hAnsi="宋体" w:cs="宋体"/>
          <w:b/>
          <w:sz w:val="24"/>
          <w:u w:val="single"/>
        </w:rPr>
        <w:t xml:space="preserve">工学 </w:t>
      </w: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 xml:space="preserve">专业代码： </w:t>
      </w:r>
      <w:r>
        <w:rPr>
          <w:rFonts w:hint="eastAsia" w:ascii="宋体" w:hAnsi="宋体" w:cs="宋体"/>
          <w:b/>
          <w:sz w:val="24"/>
          <w:u w:val="single"/>
        </w:rPr>
        <w:t>081302</w:t>
      </w: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授予学位：</w:t>
      </w:r>
      <w:r>
        <w:rPr>
          <w:rFonts w:hint="eastAsia" w:ascii="宋体" w:hAnsi="宋体" w:cs="宋体"/>
          <w:b/>
          <w:sz w:val="24"/>
          <w:u w:val="single"/>
        </w:rPr>
        <w:t>工学学士</w:t>
      </w:r>
    </w:p>
    <w:p>
      <w:pPr>
        <w:spacing w:line="440" w:lineRule="exact"/>
        <w:ind w:firstLine="720" w:firstLineChars="300"/>
        <w:rPr>
          <w:rFonts w:ascii="宋体" w:hAnsi="宋体" w:cs="宋体"/>
          <w:b/>
          <w:sz w:val="24"/>
          <w:u w:val="single"/>
        </w:rPr>
      </w:pPr>
      <w:r>
        <w:rPr>
          <w:rFonts w:hint="eastAsia" w:ascii="宋体" w:hAnsi="宋体" w:cs="宋体"/>
          <w:b/>
          <w:sz w:val="24"/>
        </w:rPr>
        <w:t>学制：</w:t>
      </w:r>
      <w:r>
        <w:rPr>
          <w:rFonts w:hint="eastAsia" w:ascii="宋体" w:hAnsi="宋体" w:cs="宋体"/>
          <w:b/>
          <w:sz w:val="24"/>
          <w:u w:val="single"/>
        </w:rPr>
        <w:t>四年</w:t>
      </w: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制定日期：</w:t>
      </w:r>
      <w:r>
        <w:rPr>
          <w:rFonts w:hint="eastAsia" w:ascii="宋体" w:hAnsi="宋体" w:cs="宋体"/>
          <w:b/>
          <w:sz w:val="24"/>
          <w:u w:val="single"/>
        </w:rPr>
        <w:t>2019年5月</w:t>
      </w:r>
    </w:p>
    <w:bookmarkEnd w:id="0"/>
    <w:p>
      <w:pPr>
        <w:autoSpaceDE w:val="0"/>
        <w:autoSpaceDN w:val="0"/>
        <w:adjustRightInd w:val="0"/>
        <w:spacing w:line="320" w:lineRule="exact"/>
        <w:ind w:firstLine="629"/>
        <w:rPr>
          <w:rFonts w:ascii="宋体" w:hAnsi="宋体" w:cs="宋体"/>
          <w:b/>
          <w:bCs/>
          <w:szCs w:val="21"/>
        </w:rPr>
      </w:pPr>
    </w:p>
    <w:p>
      <w:pPr>
        <w:numPr>
          <w:ilvl w:val="0"/>
          <w:numId w:val="1"/>
        </w:numPr>
        <w:spacing w:beforeLines="50" w:afterLines="50" w:line="312" w:lineRule="auto"/>
        <w:outlineLvl w:val="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培养目标</w:t>
      </w:r>
    </w:p>
    <w:p>
      <w:pPr>
        <w:spacing w:beforeLines="50" w:afterLines="50" w:line="336" w:lineRule="auto"/>
        <w:ind w:firstLine="420"/>
        <w:rPr>
          <w:rFonts w:ascii="仿宋" w:hAnsi="仿宋" w:eastAsia="仿宋"/>
          <w:sz w:val="24"/>
        </w:rPr>
      </w:pPr>
      <w:r>
        <w:rPr>
          <w:rFonts w:hint="eastAsia" w:ascii="仿宋" w:hAnsi="仿宋" w:eastAsia="仿宋"/>
          <w:sz w:val="24"/>
        </w:rPr>
        <w:t>本专业贯彻德、智、体、美、劳全面发展的教育方针，以“注重素质、突出应用、强化实践、产学结合、培养能力”为指导思想，以人文素养与科学素养为基础、能力培养为核心，强调实践技能的训练和自学能力的培养，重视表达能力及交流合作能力的培养，凸显创新教育、素质教育和终身教育理念。培养具有良好的职业道德、责任意识和创新意识，具有自然科学与化学、药学、工程学的基本理论和专业知识，具有较强的动手和创新创业能力，毕业后能胜任制药及其相关领域药品技术开发、制造工艺、生产管理与服务等工作的应用型高素质人才。</w:t>
      </w:r>
    </w:p>
    <w:p>
      <w:pPr>
        <w:spacing w:beforeLines="50" w:afterLines="50" w:line="312" w:lineRule="auto"/>
        <w:outlineLvl w:val="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二、毕业要求</w:t>
      </w:r>
    </w:p>
    <w:p>
      <w:pPr>
        <w:spacing w:line="348" w:lineRule="auto"/>
        <w:ind w:firstLine="420"/>
        <w:rPr>
          <w:rFonts w:ascii="仿宋" w:hAnsi="仿宋" w:eastAsia="仿宋"/>
          <w:sz w:val="24"/>
        </w:rPr>
      </w:pPr>
      <w:r>
        <w:rPr>
          <w:rFonts w:hint="eastAsia" w:ascii="仿宋" w:hAnsi="仿宋" w:eastAsia="仿宋"/>
          <w:sz w:val="24"/>
        </w:rPr>
        <w:t>1.工程知识：掌握数学、自然科学、药学、工程学基础和专业知识，能够运用其原理和方法解决制药及相关领域中的复杂工程问题。</w:t>
      </w:r>
    </w:p>
    <w:p>
      <w:pPr>
        <w:spacing w:line="348" w:lineRule="auto"/>
        <w:ind w:firstLine="420"/>
        <w:rPr>
          <w:rFonts w:ascii="仿宋" w:hAnsi="仿宋" w:eastAsia="仿宋"/>
          <w:sz w:val="24"/>
        </w:rPr>
      </w:pPr>
      <w:r>
        <w:rPr>
          <w:rFonts w:hint="eastAsia" w:ascii="仿宋" w:hAnsi="仿宋" w:eastAsia="仿宋"/>
          <w:sz w:val="24"/>
        </w:rPr>
        <w:t>1.1掌握数学和自然科学基本概念、基本理论和基本技能，能将其用于制药领域复杂工程问题的分析。</w:t>
      </w:r>
    </w:p>
    <w:p>
      <w:pPr>
        <w:spacing w:line="348" w:lineRule="auto"/>
        <w:ind w:firstLine="420"/>
        <w:rPr>
          <w:rFonts w:ascii="仿宋" w:hAnsi="仿宋" w:eastAsia="仿宋"/>
          <w:sz w:val="24"/>
        </w:rPr>
      </w:pPr>
      <w:r>
        <w:rPr>
          <w:rFonts w:hint="eastAsia" w:ascii="仿宋" w:hAnsi="仿宋" w:eastAsia="仿宋"/>
          <w:sz w:val="24"/>
        </w:rPr>
        <w:t>1.2掌握药学，包括药物化学、药物分析学、药理学，药剂学和制药工艺学基本知识与原理，能将其用于制药领域复杂工程问题的设计与开发。</w:t>
      </w:r>
    </w:p>
    <w:p>
      <w:pPr>
        <w:spacing w:line="348" w:lineRule="auto"/>
        <w:ind w:firstLine="420"/>
        <w:rPr>
          <w:rFonts w:ascii="仿宋" w:hAnsi="仿宋" w:eastAsia="仿宋"/>
          <w:sz w:val="24"/>
        </w:rPr>
      </w:pPr>
      <w:r>
        <w:rPr>
          <w:rFonts w:hint="eastAsia" w:ascii="仿宋" w:hAnsi="仿宋" w:eastAsia="仿宋"/>
          <w:sz w:val="24"/>
        </w:rPr>
        <w:t>1.3掌握工程学基础知识，能够应用工程理念分析及解决本专业技术领域复杂工程问题。</w:t>
      </w:r>
    </w:p>
    <w:p>
      <w:pPr>
        <w:spacing w:line="348" w:lineRule="auto"/>
        <w:ind w:firstLine="420"/>
        <w:rPr>
          <w:rFonts w:ascii="仿宋" w:hAnsi="仿宋" w:eastAsia="仿宋"/>
          <w:sz w:val="24"/>
        </w:rPr>
      </w:pPr>
      <w:r>
        <w:rPr>
          <w:rFonts w:hint="eastAsia" w:ascii="仿宋" w:hAnsi="仿宋" w:eastAsia="仿宋"/>
          <w:sz w:val="24"/>
        </w:rPr>
        <w:t>2.问题分析：能够在文献调研的基础之上，学会在工程实践活动中运用数学、自然科学和制药工程专业知识与基本原理，对制药过程中的复杂工程问题进行认识、表达和分析，以获得有效结论。</w:t>
      </w:r>
    </w:p>
    <w:p>
      <w:pPr>
        <w:spacing w:line="348" w:lineRule="auto"/>
        <w:ind w:firstLine="420"/>
        <w:rPr>
          <w:rFonts w:ascii="仿宋" w:hAnsi="仿宋" w:eastAsia="仿宋"/>
          <w:sz w:val="24"/>
        </w:rPr>
      </w:pPr>
      <w:r>
        <w:rPr>
          <w:rFonts w:hint="eastAsia" w:ascii="仿宋" w:hAnsi="仿宋" w:eastAsia="仿宋"/>
          <w:sz w:val="24"/>
        </w:rPr>
        <w:t>2.1掌握文献检索、资料查询的基本方法，能够运用现代技术手段获取相关专业文献，具有专业领域资料阅读和文献研究能力。</w:t>
      </w:r>
    </w:p>
    <w:p>
      <w:pPr>
        <w:spacing w:line="348" w:lineRule="auto"/>
        <w:ind w:firstLine="420"/>
        <w:rPr>
          <w:rFonts w:ascii="仿宋" w:hAnsi="仿宋" w:eastAsia="仿宋"/>
          <w:sz w:val="24"/>
        </w:rPr>
      </w:pPr>
      <w:r>
        <w:rPr>
          <w:rFonts w:hint="eastAsia" w:ascii="仿宋" w:hAnsi="仿宋" w:eastAsia="仿宋"/>
          <w:sz w:val="24"/>
        </w:rPr>
        <w:t>2.2能够识别复杂工程问题中所涉及的数学、自然科学、工程科学、以及制药工程专业相关的知识。</w:t>
      </w:r>
    </w:p>
    <w:p>
      <w:pPr>
        <w:spacing w:line="348" w:lineRule="auto"/>
        <w:ind w:firstLine="420"/>
        <w:rPr>
          <w:rFonts w:ascii="仿宋" w:hAnsi="仿宋" w:eastAsia="仿宋"/>
          <w:sz w:val="24"/>
        </w:rPr>
      </w:pPr>
      <w:r>
        <w:rPr>
          <w:rFonts w:hint="eastAsia" w:ascii="仿宋" w:hAnsi="仿宋" w:eastAsia="仿宋"/>
          <w:sz w:val="24"/>
        </w:rPr>
        <w:t>2.3能够应用数学、自然科学、工程科学和制药工程专业知识，对制药领域复杂工程问题进行认识、表达、分析和评价。</w:t>
      </w:r>
    </w:p>
    <w:p>
      <w:pPr>
        <w:spacing w:line="348" w:lineRule="auto"/>
        <w:ind w:firstLine="420"/>
        <w:rPr>
          <w:rFonts w:ascii="仿宋" w:hAnsi="仿宋" w:eastAsia="仿宋"/>
          <w:sz w:val="24"/>
        </w:rPr>
      </w:pPr>
      <w:r>
        <w:rPr>
          <w:rFonts w:hint="eastAsia" w:ascii="仿宋" w:hAnsi="仿宋" w:eastAsia="仿宋"/>
          <w:sz w:val="24"/>
        </w:rPr>
        <w:t>3.设计/开发解决方案：能够运用工程设计方法和制药工程基本原理，针对药品生产过程中涉及的工艺、质量控制、设备等复杂工程问题，基于“质量源于设计”的理念，设计相应的解决方案，并能体现创新意识和综合考虑法律法规、环境及安全、社会与文化等因素的能力。</w:t>
      </w:r>
    </w:p>
    <w:p>
      <w:pPr>
        <w:spacing w:line="348" w:lineRule="auto"/>
        <w:ind w:firstLine="420"/>
        <w:rPr>
          <w:rFonts w:ascii="仿宋" w:hAnsi="仿宋" w:eastAsia="仿宋"/>
          <w:sz w:val="24"/>
        </w:rPr>
      </w:pPr>
      <w:r>
        <w:rPr>
          <w:rFonts w:hint="eastAsia" w:ascii="仿宋" w:hAnsi="仿宋" w:eastAsia="仿宋"/>
          <w:sz w:val="24"/>
        </w:rPr>
        <w:t>3.1．在系统掌握药学、化学、生物学知识的基础上，把所学的知识用于解决药品工艺的设计、开发中的复杂工程问题。</w:t>
      </w:r>
    </w:p>
    <w:p>
      <w:pPr>
        <w:spacing w:line="348" w:lineRule="auto"/>
        <w:ind w:firstLine="420"/>
        <w:rPr>
          <w:rFonts w:ascii="仿宋" w:hAnsi="仿宋" w:eastAsia="仿宋"/>
          <w:sz w:val="24"/>
        </w:rPr>
      </w:pPr>
      <w:r>
        <w:rPr>
          <w:rFonts w:hint="eastAsia" w:ascii="仿宋" w:hAnsi="仿宋" w:eastAsia="仿宋"/>
          <w:sz w:val="24"/>
        </w:rPr>
        <w:t>3.2在掌握工程学知识的基础上，把所学到的知识用于解决药品质量控制、生产、设备等复杂工程问题。</w:t>
      </w:r>
    </w:p>
    <w:p>
      <w:pPr>
        <w:spacing w:line="348" w:lineRule="auto"/>
        <w:ind w:firstLine="420"/>
        <w:rPr>
          <w:rFonts w:ascii="仿宋" w:hAnsi="仿宋" w:eastAsia="仿宋"/>
          <w:sz w:val="24"/>
        </w:rPr>
      </w:pPr>
      <w:r>
        <w:rPr>
          <w:rFonts w:hint="eastAsia" w:ascii="仿宋" w:hAnsi="仿宋" w:eastAsia="仿宋"/>
          <w:sz w:val="24"/>
        </w:rPr>
        <w:t>3.3能够在社会、健康、安全、法律、文化以及环境等现实约束条件下通过技术、经济评价等论证设计方案的可行性。</w:t>
      </w:r>
    </w:p>
    <w:p>
      <w:pPr>
        <w:spacing w:line="348" w:lineRule="auto"/>
        <w:ind w:firstLine="420"/>
        <w:rPr>
          <w:rFonts w:ascii="仿宋" w:hAnsi="仿宋" w:eastAsia="仿宋"/>
          <w:sz w:val="24"/>
        </w:rPr>
      </w:pPr>
      <w:r>
        <w:rPr>
          <w:rFonts w:hint="eastAsia" w:ascii="仿宋" w:hAnsi="仿宋" w:eastAsia="仿宋"/>
          <w:sz w:val="24"/>
        </w:rPr>
        <w:t>4.研究：能够综合运用自然科学、药学和制药工程学原理和方法，针对药品生产和质量控制等过程中的复杂工程问题进行研究，包括实验设计、数据分析和信息综合，以获得合理有效的结论。</w:t>
      </w:r>
    </w:p>
    <w:p>
      <w:pPr>
        <w:spacing w:line="348" w:lineRule="auto"/>
        <w:ind w:firstLine="420"/>
        <w:rPr>
          <w:rFonts w:ascii="仿宋" w:hAnsi="仿宋" w:eastAsia="仿宋"/>
          <w:sz w:val="24"/>
        </w:rPr>
      </w:pPr>
      <w:r>
        <w:rPr>
          <w:rFonts w:hint="eastAsia" w:ascii="仿宋" w:hAnsi="仿宋" w:eastAsia="仿宋"/>
          <w:sz w:val="24"/>
        </w:rPr>
        <w:t>4.1能够根据实际需求，运用所学科学原理，给出相关问题的研究方案和目标。</w:t>
      </w:r>
    </w:p>
    <w:p>
      <w:pPr>
        <w:spacing w:line="348" w:lineRule="auto"/>
        <w:ind w:firstLine="420"/>
        <w:rPr>
          <w:rFonts w:ascii="仿宋" w:hAnsi="仿宋" w:eastAsia="仿宋"/>
          <w:sz w:val="24"/>
        </w:rPr>
      </w:pPr>
      <w:r>
        <w:rPr>
          <w:rFonts w:hint="eastAsia" w:ascii="仿宋" w:hAnsi="仿宋" w:eastAsia="仿宋"/>
          <w:sz w:val="24"/>
        </w:rPr>
        <w:t>4.2能够根据研究方案和目标，设计实验，以及正确采集、整理实验数据。</w:t>
      </w:r>
    </w:p>
    <w:p>
      <w:pPr>
        <w:spacing w:line="348" w:lineRule="auto"/>
        <w:ind w:firstLine="420"/>
        <w:rPr>
          <w:rFonts w:ascii="仿宋" w:hAnsi="仿宋" w:eastAsia="仿宋"/>
          <w:sz w:val="24"/>
        </w:rPr>
      </w:pPr>
      <w:r>
        <w:rPr>
          <w:rFonts w:hint="eastAsia" w:ascii="仿宋" w:hAnsi="仿宋" w:eastAsia="仿宋"/>
          <w:sz w:val="24"/>
        </w:rPr>
        <w:t>4.3能够从理论上对实验结果进行分析和归纳，得到合理有效的结论。</w:t>
      </w:r>
    </w:p>
    <w:p>
      <w:pPr>
        <w:spacing w:line="348" w:lineRule="auto"/>
        <w:ind w:firstLine="420"/>
        <w:rPr>
          <w:rFonts w:ascii="仿宋" w:hAnsi="仿宋" w:eastAsia="仿宋"/>
          <w:sz w:val="24"/>
        </w:rPr>
      </w:pPr>
      <w:r>
        <w:rPr>
          <w:rFonts w:hint="eastAsia" w:ascii="仿宋" w:hAnsi="仿宋" w:eastAsia="仿宋"/>
          <w:sz w:val="24"/>
        </w:rPr>
        <w:t>5.使用现代工具：能够针对制药工程的复杂工程问题，开发、选择与使用恰当的技术、资源、现代工程工具和信息技术工具，进行预测和分析，并能够理解其局限性。</w:t>
      </w:r>
    </w:p>
    <w:p>
      <w:pPr>
        <w:spacing w:line="348" w:lineRule="auto"/>
        <w:ind w:firstLine="420"/>
        <w:rPr>
          <w:rFonts w:ascii="仿宋" w:hAnsi="仿宋" w:eastAsia="仿宋"/>
          <w:sz w:val="24"/>
        </w:rPr>
      </w:pPr>
      <w:r>
        <w:rPr>
          <w:rFonts w:hint="eastAsia" w:ascii="仿宋" w:hAnsi="仿宋" w:eastAsia="仿宋"/>
          <w:sz w:val="24"/>
        </w:rPr>
        <w:t>5.1能够使用互联网、移动互联网和大数据分析等现代信息工具查询、检索制药工程专业的文献及资料。</w:t>
      </w:r>
    </w:p>
    <w:p>
      <w:pPr>
        <w:spacing w:line="348" w:lineRule="auto"/>
        <w:ind w:firstLine="420"/>
        <w:rPr>
          <w:rFonts w:ascii="仿宋" w:hAnsi="仿宋" w:eastAsia="仿宋"/>
          <w:sz w:val="24"/>
        </w:rPr>
      </w:pPr>
      <w:r>
        <w:rPr>
          <w:rFonts w:hint="eastAsia" w:ascii="仿宋" w:hAnsi="仿宋" w:eastAsia="仿宋"/>
          <w:sz w:val="24"/>
        </w:rPr>
        <w:t>5.2能够使用在线监测，记录及分析软件工具，对制药工程领域的质量管理问题进行预测、分析、并理解其局限性。</w:t>
      </w:r>
    </w:p>
    <w:p>
      <w:pPr>
        <w:spacing w:line="348" w:lineRule="auto"/>
        <w:ind w:firstLine="420"/>
        <w:rPr>
          <w:rFonts w:ascii="仿宋" w:hAnsi="仿宋" w:eastAsia="仿宋"/>
          <w:sz w:val="24"/>
        </w:rPr>
      </w:pPr>
      <w:r>
        <w:rPr>
          <w:rFonts w:hint="eastAsia" w:ascii="仿宋" w:hAnsi="仿宋" w:eastAsia="仿宋"/>
          <w:sz w:val="24"/>
        </w:rPr>
        <w:t>6.工程与社会：能够基于制药工程相关背景知识进行合理分析，评价制药工程实践中新产品、新工艺、新技术开发和应用等复杂工程问题解决方案对社会、健康、安全、法律以及文化的影响，并理解应承担的责任。</w:t>
      </w:r>
    </w:p>
    <w:p>
      <w:pPr>
        <w:spacing w:line="348" w:lineRule="auto"/>
        <w:ind w:firstLine="420"/>
        <w:rPr>
          <w:rFonts w:ascii="仿宋" w:hAnsi="仿宋" w:eastAsia="仿宋"/>
          <w:sz w:val="24"/>
        </w:rPr>
      </w:pPr>
      <w:r>
        <w:rPr>
          <w:rFonts w:hint="eastAsia" w:ascii="仿宋" w:hAnsi="仿宋" w:eastAsia="仿宋"/>
          <w:sz w:val="24"/>
        </w:rPr>
        <w:t>6.1了解制药行业的法规、基本政策及相关法律知识。</w:t>
      </w:r>
    </w:p>
    <w:p>
      <w:pPr>
        <w:spacing w:line="348" w:lineRule="auto"/>
        <w:ind w:firstLine="420"/>
        <w:rPr>
          <w:rFonts w:ascii="仿宋" w:hAnsi="仿宋" w:eastAsia="仿宋"/>
          <w:sz w:val="24"/>
        </w:rPr>
      </w:pPr>
      <w:r>
        <w:rPr>
          <w:rFonts w:hint="eastAsia" w:ascii="仿宋" w:hAnsi="仿宋" w:eastAsia="仿宋"/>
          <w:sz w:val="24"/>
        </w:rPr>
        <w:t>6.2了解制药工程的发展历程，关注本领域最新的理论、方法及法律法规。</w:t>
      </w:r>
    </w:p>
    <w:p>
      <w:pPr>
        <w:spacing w:line="348" w:lineRule="auto"/>
        <w:ind w:firstLine="420"/>
        <w:rPr>
          <w:rFonts w:ascii="仿宋" w:hAnsi="仿宋" w:eastAsia="仿宋"/>
          <w:sz w:val="24"/>
        </w:rPr>
      </w:pPr>
      <w:r>
        <w:rPr>
          <w:rFonts w:hint="eastAsia" w:ascii="仿宋" w:hAnsi="仿宋" w:eastAsia="仿宋"/>
          <w:sz w:val="24"/>
        </w:rPr>
        <w:t>6.3能在社会、健康、安全、法律以及文化框架内开展制药工程项目，并理解制药工程实践中复杂工程问题解决方案产生的影响及应承担的责任。</w:t>
      </w:r>
    </w:p>
    <w:p>
      <w:pPr>
        <w:spacing w:line="348" w:lineRule="auto"/>
        <w:ind w:firstLine="420"/>
        <w:rPr>
          <w:rFonts w:ascii="仿宋" w:hAnsi="仿宋" w:eastAsia="仿宋"/>
          <w:sz w:val="24"/>
        </w:rPr>
      </w:pPr>
      <w:r>
        <w:rPr>
          <w:rFonts w:hint="eastAsia" w:ascii="仿宋" w:hAnsi="仿宋" w:eastAsia="仿宋"/>
          <w:sz w:val="24"/>
        </w:rPr>
        <w:t>7.环境和可持续发展：了解与本专业相关的职业和行业的生产、设计、研究与开发、环境保护和可持续发展等方面的方针、政策和法律法规，能理解和评价针对制药复杂工程问题的工程实践对环境、社会可持续发展的影响。</w:t>
      </w:r>
    </w:p>
    <w:p>
      <w:pPr>
        <w:spacing w:line="348" w:lineRule="auto"/>
        <w:ind w:firstLine="420"/>
        <w:rPr>
          <w:rFonts w:ascii="仿宋" w:hAnsi="仿宋" w:eastAsia="仿宋"/>
          <w:sz w:val="24"/>
        </w:rPr>
      </w:pPr>
      <w:r>
        <w:rPr>
          <w:rFonts w:hint="eastAsia" w:ascii="仿宋" w:hAnsi="仿宋" w:eastAsia="仿宋"/>
          <w:sz w:val="24"/>
        </w:rPr>
        <w:t>7.1树立绿色发展理念，了解国家环境保护相关政策法规，理解社会可持续发展的重要性。</w:t>
      </w:r>
    </w:p>
    <w:p>
      <w:pPr>
        <w:spacing w:line="348" w:lineRule="auto"/>
        <w:ind w:firstLine="420"/>
        <w:rPr>
          <w:rFonts w:ascii="仿宋" w:hAnsi="仿宋" w:eastAsia="仿宋"/>
          <w:sz w:val="24"/>
        </w:rPr>
      </w:pPr>
      <w:r>
        <w:rPr>
          <w:rFonts w:hint="eastAsia" w:ascii="仿宋" w:hAnsi="仿宋" w:eastAsia="仿宋"/>
          <w:sz w:val="24"/>
        </w:rPr>
        <w:t>7.2能够对制药工程领域复杂工程问题的工程实践对环境、社会可持续发展的影响进行合理评价。</w:t>
      </w:r>
    </w:p>
    <w:p>
      <w:pPr>
        <w:spacing w:line="348" w:lineRule="auto"/>
        <w:ind w:firstLine="420"/>
        <w:rPr>
          <w:rFonts w:ascii="仿宋" w:hAnsi="仿宋" w:eastAsia="仿宋"/>
          <w:sz w:val="24"/>
        </w:rPr>
      </w:pPr>
      <w:r>
        <w:rPr>
          <w:rFonts w:hint="eastAsia" w:ascii="仿宋" w:hAnsi="仿宋" w:eastAsia="仿宋"/>
          <w:sz w:val="24"/>
        </w:rPr>
        <w:t>7.3能够在制药工程领域复杂工程实践中合理利用相关技术，发挥对环境、社会可持续发展的积极作用，降低负面影响。</w:t>
      </w:r>
    </w:p>
    <w:p>
      <w:pPr>
        <w:spacing w:line="348" w:lineRule="auto"/>
        <w:ind w:firstLine="420"/>
        <w:rPr>
          <w:rFonts w:ascii="仿宋" w:hAnsi="仿宋" w:eastAsia="仿宋"/>
          <w:sz w:val="24"/>
        </w:rPr>
      </w:pPr>
      <w:r>
        <w:rPr>
          <w:rFonts w:hint="eastAsia" w:ascii="仿宋" w:hAnsi="仿宋" w:eastAsia="仿宋"/>
          <w:sz w:val="24"/>
        </w:rPr>
        <w:t>8.职业规范：具有人文社会科学素养、社会责任感和工程职业道德，能够遵守制药行业规范，履行社会责任。</w:t>
      </w:r>
    </w:p>
    <w:p>
      <w:pPr>
        <w:spacing w:line="348" w:lineRule="auto"/>
        <w:ind w:firstLine="420"/>
        <w:rPr>
          <w:rFonts w:ascii="仿宋" w:hAnsi="仿宋" w:eastAsia="仿宋"/>
          <w:sz w:val="24"/>
        </w:rPr>
      </w:pPr>
      <w:r>
        <w:rPr>
          <w:rFonts w:hint="eastAsia" w:ascii="仿宋" w:hAnsi="仿宋" w:eastAsia="仿宋"/>
          <w:sz w:val="24"/>
        </w:rPr>
        <w:t>8.1树立正确的人生观、价值观和世界观，具有良好的人文社会科学素养。</w:t>
      </w:r>
    </w:p>
    <w:p>
      <w:pPr>
        <w:spacing w:line="348" w:lineRule="auto"/>
        <w:ind w:firstLine="420"/>
        <w:rPr>
          <w:rFonts w:ascii="仿宋" w:hAnsi="仿宋" w:eastAsia="仿宋"/>
          <w:sz w:val="24"/>
        </w:rPr>
      </w:pPr>
      <w:r>
        <w:rPr>
          <w:rFonts w:hint="eastAsia" w:ascii="仿宋" w:hAnsi="仿宋" w:eastAsia="仿宋"/>
          <w:sz w:val="24"/>
        </w:rPr>
        <w:t>8.2拥有健康的体质、良好的心理素质和社会责任感。</w:t>
      </w:r>
    </w:p>
    <w:p>
      <w:pPr>
        <w:spacing w:line="348" w:lineRule="auto"/>
        <w:ind w:firstLine="420"/>
        <w:rPr>
          <w:rFonts w:ascii="仿宋" w:hAnsi="仿宋" w:eastAsia="仿宋"/>
          <w:sz w:val="24"/>
        </w:rPr>
      </w:pPr>
      <w:r>
        <w:rPr>
          <w:rFonts w:hint="eastAsia" w:ascii="仿宋" w:hAnsi="仿宋" w:eastAsia="仿宋"/>
          <w:sz w:val="24"/>
        </w:rPr>
        <w:t>8.3能够在制药工程实践中理解并遵守工程职业道德和规范，履行社会责任。</w:t>
      </w:r>
    </w:p>
    <w:p>
      <w:pPr>
        <w:spacing w:line="348" w:lineRule="auto"/>
        <w:ind w:firstLine="420"/>
        <w:rPr>
          <w:rFonts w:ascii="仿宋" w:hAnsi="仿宋" w:eastAsia="仿宋"/>
          <w:sz w:val="24"/>
        </w:rPr>
      </w:pPr>
      <w:r>
        <w:rPr>
          <w:rFonts w:hint="eastAsia" w:ascii="仿宋" w:hAnsi="仿宋" w:eastAsia="仿宋"/>
          <w:sz w:val="24"/>
        </w:rPr>
        <w:t>9.个人和团队：具有团队协作能力，能够在多学科背景下的团队中承担个体、团队成员以及负责人的角色。</w:t>
      </w:r>
    </w:p>
    <w:p>
      <w:pPr>
        <w:spacing w:line="348" w:lineRule="auto"/>
        <w:ind w:firstLine="420"/>
        <w:rPr>
          <w:rFonts w:ascii="仿宋" w:hAnsi="仿宋" w:eastAsia="仿宋"/>
          <w:sz w:val="24"/>
        </w:rPr>
      </w:pPr>
      <w:r>
        <w:rPr>
          <w:rFonts w:hint="eastAsia" w:ascii="仿宋" w:hAnsi="仿宋" w:eastAsia="仿宋"/>
          <w:sz w:val="24"/>
        </w:rPr>
        <w:t>9.1能够在多学科背景下理解团队的意义，了解项目团队的角色。</w:t>
      </w:r>
    </w:p>
    <w:p>
      <w:pPr>
        <w:spacing w:line="348" w:lineRule="auto"/>
        <w:ind w:firstLine="420"/>
        <w:rPr>
          <w:rFonts w:ascii="仿宋" w:hAnsi="仿宋" w:eastAsia="仿宋"/>
          <w:sz w:val="24"/>
        </w:rPr>
      </w:pPr>
      <w:r>
        <w:rPr>
          <w:rFonts w:hint="eastAsia" w:ascii="仿宋" w:hAnsi="仿宋" w:eastAsia="仿宋"/>
          <w:sz w:val="24"/>
        </w:rPr>
        <w:t>9.2能够在多学科背景下主动与其他成员沟通、合作、开展工作。</w:t>
      </w:r>
    </w:p>
    <w:p>
      <w:pPr>
        <w:spacing w:line="348" w:lineRule="auto"/>
        <w:ind w:firstLine="420"/>
        <w:rPr>
          <w:rFonts w:ascii="仿宋" w:hAnsi="仿宋" w:eastAsia="仿宋"/>
          <w:sz w:val="24"/>
        </w:rPr>
      </w:pPr>
      <w:r>
        <w:rPr>
          <w:rFonts w:hint="eastAsia" w:ascii="仿宋" w:hAnsi="仿宋" w:eastAsia="仿宋"/>
          <w:sz w:val="24"/>
        </w:rPr>
        <w:t>9.3能够在团队中承担个体、团队成员以及负责人的角色。</w:t>
      </w:r>
    </w:p>
    <w:p>
      <w:pPr>
        <w:spacing w:line="348" w:lineRule="auto"/>
        <w:ind w:firstLine="420"/>
        <w:rPr>
          <w:rFonts w:ascii="仿宋" w:hAnsi="仿宋" w:eastAsia="仿宋"/>
          <w:sz w:val="24"/>
        </w:rPr>
      </w:pPr>
      <w:r>
        <w:rPr>
          <w:rFonts w:hint="eastAsia" w:ascii="仿宋" w:hAnsi="仿宋" w:eastAsia="仿宋"/>
          <w:sz w:val="24"/>
        </w:rPr>
        <w:t>10.沟通：能够就复杂制药工程问题与业界同行及社会公众通过书面报告、陈述发言等形式进行有效沟通和交流。至少掌握一门外语，对制药及其相关领域的国际状况有基本的了解，具备一定的跨文化背景进行沟通和交流能力。</w:t>
      </w:r>
    </w:p>
    <w:p>
      <w:pPr>
        <w:spacing w:line="348" w:lineRule="auto"/>
        <w:ind w:firstLine="420"/>
        <w:rPr>
          <w:rFonts w:ascii="仿宋" w:hAnsi="仿宋" w:eastAsia="仿宋"/>
          <w:sz w:val="24"/>
        </w:rPr>
      </w:pPr>
      <w:r>
        <w:rPr>
          <w:rFonts w:hint="eastAsia" w:ascii="仿宋" w:hAnsi="仿宋" w:eastAsia="仿宋"/>
          <w:sz w:val="24"/>
        </w:rPr>
        <w:t>10.1具有良好的书面及口头表达能力，能够熟练运用母语及工程专业术语进行描述、表达，并能够与业界同行及社会公众进行交流。</w:t>
      </w:r>
    </w:p>
    <w:p>
      <w:pPr>
        <w:spacing w:line="348" w:lineRule="auto"/>
        <w:ind w:firstLine="420"/>
        <w:rPr>
          <w:rFonts w:ascii="仿宋" w:hAnsi="仿宋" w:eastAsia="仿宋"/>
          <w:sz w:val="24"/>
        </w:rPr>
      </w:pPr>
      <w:r>
        <w:rPr>
          <w:rFonts w:hint="eastAsia" w:ascii="仿宋" w:hAnsi="仿宋" w:eastAsia="仿宋"/>
          <w:sz w:val="24"/>
        </w:rPr>
        <w:t>10.2了解制药工程及相关专业科技文档的基本构成以及要求，具备科技文档的写作能力和科技演讲的基本技能。</w:t>
      </w:r>
    </w:p>
    <w:p>
      <w:pPr>
        <w:spacing w:line="348" w:lineRule="auto"/>
        <w:ind w:firstLine="420"/>
        <w:rPr>
          <w:rFonts w:ascii="仿宋" w:hAnsi="仿宋" w:eastAsia="仿宋"/>
          <w:sz w:val="24"/>
        </w:rPr>
      </w:pPr>
      <w:r>
        <w:rPr>
          <w:rFonts w:hint="eastAsia" w:ascii="仿宋" w:hAnsi="仿宋" w:eastAsia="仿宋"/>
          <w:sz w:val="24"/>
        </w:rPr>
        <w:t>10.3具有良好的外语听说读写能力，能够阅读专业相关的外文文献，具备一定的国际视野，能够进行跨文化沟通和交流。</w:t>
      </w:r>
    </w:p>
    <w:p>
      <w:pPr>
        <w:spacing w:line="348" w:lineRule="auto"/>
        <w:ind w:firstLine="420"/>
        <w:rPr>
          <w:rFonts w:ascii="仿宋" w:hAnsi="仿宋" w:eastAsia="仿宋"/>
          <w:sz w:val="24"/>
        </w:rPr>
      </w:pPr>
      <w:r>
        <w:rPr>
          <w:rFonts w:hint="eastAsia" w:ascii="仿宋" w:hAnsi="仿宋" w:eastAsia="仿宋"/>
          <w:sz w:val="24"/>
        </w:rPr>
        <w:t>11.项目管理：理解并掌握工程管理原理与经济决策方法，并能在制药工程及其相关的多学科环境中应用。</w:t>
      </w:r>
    </w:p>
    <w:p>
      <w:pPr>
        <w:spacing w:line="348" w:lineRule="auto"/>
        <w:ind w:firstLine="420"/>
        <w:rPr>
          <w:rFonts w:ascii="仿宋" w:hAnsi="仿宋" w:eastAsia="仿宋"/>
          <w:sz w:val="24"/>
        </w:rPr>
      </w:pPr>
      <w:r>
        <w:rPr>
          <w:rFonts w:hint="eastAsia" w:ascii="仿宋" w:hAnsi="仿宋" w:eastAsia="仿宋"/>
          <w:sz w:val="24"/>
        </w:rPr>
        <w:t>11.1理解从事制药工程实践活动所需的经济与管理因素，掌握管理原理与经济决策方法。</w:t>
      </w:r>
    </w:p>
    <w:p>
      <w:pPr>
        <w:spacing w:line="348" w:lineRule="auto"/>
        <w:ind w:firstLine="420"/>
        <w:rPr>
          <w:rFonts w:ascii="仿宋" w:hAnsi="仿宋" w:eastAsia="仿宋"/>
          <w:sz w:val="24"/>
        </w:rPr>
      </w:pPr>
      <w:r>
        <w:rPr>
          <w:rFonts w:hint="eastAsia" w:ascii="仿宋" w:hAnsi="仿宋" w:eastAsia="仿宋"/>
          <w:sz w:val="24"/>
        </w:rPr>
        <w:t>11.2能够在多学科环境中根据制药工程项目特征选择恰当的项目管理方法和经济决策方法。</w:t>
      </w:r>
    </w:p>
    <w:p>
      <w:pPr>
        <w:spacing w:line="348" w:lineRule="auto"/>
        <w:ind w:firstLine="420"/>
        <w:rPr>
          <w:rFonts w:ascii="仿宋" w:hAnsi="仿宋" w:eastAsia="仿宋"/>
          <w:sz w:val="24"/>
        </w:rPr>
      </w:pPr>
      <w:r>
        <w:rPr>
          <w:rFonts w:hint="eastAsia" w:ascii="仿宋" w:hAnsi="仿宋" w:eastAsia="仿宋"/>
          <w:sz w:val="24"/>
        </w:rPr>
        <w:t>11.3具备对制药工程项目进行项目管理的能力并进行实践。</w:t>
      </w:r>
    </w:p>
    <w:p>
      <w:pPr>
        <w:spacing w:line="348" w:lineRule="auto"/>
        <w:ind w:firstLine="420"/>
        <w:rPr>
          <w:rFonts w:ascii="仿宋" w:hAnsi="仿宋" w:eastAsia="仿宋"/>
          <w:sz w:val="24"/>
        </w:rPr>
      </w:pPr>
      <w:r>
        <w:rPr>
          <w:rFonts w:hint="eastAsia" w:ascii="仿宋" w:hAnsi="仿宋" w:eastAsia="仿宋"/>
          <w:sz w:val="24"/>
        </w:rPr>
        <w:t>12.终身学习：具有自主学习和终身学习的意识，能不断学习并及时了解制药行业的发展动态，具有适应行业发展的能力。</w:t>
      </w:r>
    </w:p>
    <w:p>
      <w:pPr>
        <w:spacing w:line="348" w:lineRule="auto"/>
        <w:ind w:firstLine="420"/>
        <w:rPr>
          <w:rFonts w:ascii="仿宋" w:hAnsi="仿宋" w:eastAsia="仿宋"/>
          <w:sz w:val="24"/>
        </w:rPr>
      </w:pPr>
      <w:r>
        <w:rPr>
          <w:rFonts w:hint="eastAsia" w:ascii="仿宋" w:hAnsi="仿宋" w:eastAsia="仿宋"/>
          <w:sz w:val="24"/>
        </w:rPr>
        <w:t>12.1具有自主学习和终身学习的意识，能认识不断探索和学习的必要性。</w:t>
      </w:r>
    </w:p>
    <w:p>
      <w:pPr>
        <w:spacing w:line="348" w:lineRule="auto"/>
        <w:ind w:firstLine="420"/>
        <w:rPr>
          <w:rFonts w:ascii="仿宋" w:hAnsi="仿宋" w:eastAsia="仿宋"/>
          <w:sz w:val="24"/>
        </w:rPr>
      </w:pPr>
      <w:r>
        <w:rPr>
          <w:rFonts w:hint="eastAsia" w:ascii="仿宋" w:hAnsi="仿宋" w:eastAsia="仿宋"/>
          <w:sz w:val="24"/>
        </w:rPr>
        <w:t>12.2掌握自主学习的方法，合理运用互联网等资源进行学习和提高，拓展制药领域内的知识和能力。</w:t>
      </w:r>
    </w:p>
    <w:p>
      <w:pPr>
        <w:spacing w:line="348" w:lineRule="auto"/>
        <w:ind w:firstLine="420"/>
        <w:rPr>
          <w:rFonts w:ascii="仿宋" w:hAnsi="仿宋" w:eastAsia="仿宋"/>
          <w:sz w:val="24"/>
        </w:rPr>
      </w:pPr>
      <w:r>
        <w:rPr>
          <w:rFonts w:hint="eastAsia" w:ascii="仿宋" w:hAnsi="仿宋" w:eastAsia="仿宋"/>
          <w:sz w:val="24"/>
        </w:rPr>
        <w:t>12.3针对个人和职业的发展需求，追踪制药工程相关领域的发展动态，不断更新知识和技能。</w:t>
      </w:r>
    </w:p>
    <w:p>
      <w:pPr>
        <w:spacing w:beforeLines="50" w:afterLines="50" w:line="312" w:lineRule="auto"/>
        <w:rPr>
          <w:rFonts w:ascii="宋体" w:hAnsi="宋体" w:cs="宋体"/>
          <w:b/>
          <w:bCs/>
          <w:color w:val="000000"/>
          <w:kern w:val="0"/>
          <w:sz w:val="28"/>
          <w:szCs w:val="28"/>
        </w:rPr>
      </w:pPr>
      <w:r>
        <w:rPr>
          <w:rFonts w:hint="eastAsia" w:ascii="宋体" w:hAnsi="宋体" w:cs="宋体"/>
          <w:b/>
          <w:bCs/>
          <w:color w:val="000000"/>
          <w:kern w:val="0"/>
          <w:sz w:val="28"/>
          <w:szCs w:val="28"/>
        </w:rPr>
        <w:t>三、专业核心课程</w:t>
      </w:r>
    </w:p>
    <w:p>
      <w:pPr>
        <w:spacing w:beforeLines="50" w:afterLines="50" w:line="336" w:lineRule="auto"/>
        <w:ind w:firstLine="420"/>
        <w:rPr>
          <w:rFonts w:ascii="仿宋" w:hAnsi="仿宋" w:eastAsia="仿宋"/>
          <w:sz w:val="24"/>
        </w:rPr>
      </w:pPr>
      <w:r>
        <w:rPr>
          <w:rFonts w:hint="eastAsia" w:ascii="仿宋" w:hAnsi="仿宋" w:eastAsia="仿宋"/>
          <w:sz w:val="24"/>
        </w:rPr>
        <w:t>有机化学、物理化学、生物化学、药物化学、药剂学、药物分析、化工原理、制药工艺学、制药设备与车间设计、制药过程安全与环保、药品生产质量控制技术。</w:t>
      </w:r>
    </w:p>
    <w:p>
      <w:pPr>
        <w:spacing w:beforeLines="50" w:afterLines="50" w:line="336" w:lineRule="auto"/>
        <w:outlineLvl w:val="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四、毕业标准与学位学分绩点要求</w:t>
      </w:r>
    </w:p>
    <w:p>
      <w:pPr>
        <w:spacing w:beforeLines="50" w:afterLines="50" w:line="336" w:lineRule="auto"/>
        <w:ind w:firstLine="477" w:firstLineChars="199"/>
        <w:rPr>
          <w:rFonts w:ascii="仿宋" w:hAnsi="仿宋" w:eastAsia="仿宋"/>
          <w:sz w:val="24"/>
        </w:rPr>
      </w:pPr>
      <w:r>
        <w:rPr>
          <w:rFonts w:hint="eastAsia" w:asciiTheme="minorEastAsia" w:hAnsiTheme="minorEastAsia" w:eastAsiaTheme="minorEastAsia"/>
          <w:b/>
          <w:kern w:val="0"/>
          <w:sz w:val="24"/>
        </w:rPr>
        <w:t xml:space="preserve">毕业标准: </w:t>
      </w:r>
      <w:r>
        <w:rPr>
          <w:rFonts w:hint="eastAsia" w:ascii="仿宋" w:hAnsi="仿宋" w:eastAsia="仿宋"/>
          <w:sz w:val="24"/>
        </w:rPr>
        <w:t>遵章守纪,具有良好的思想道德和身体素质,符合规定的德育和体育标准；修满本专业最低计划学分要求180学分,且各类课程的学分符合专业指导性教学计划规定。</w:t>
      </w:r>
    </w:p>
    <w:p>
      <w:pPr>
        <w:spacing w:beforeLines="50" w:afterLines="50" w:line="336" w:lineRule="auto"/>
        <w:ind w:firstLine="477" w:firstLineChars="199"/>
        <w:rPr>
          <w:rFonts w:hint="eastAsia" w:ascii="仿宋" w:hAnsi="仿宋" w:eastAsia="仿宋"/>
          <w:sz w:val="24"/>
        </w:rPr>
      </w:pPr>
      <w:r>
        <w:rPr>
          <w:rFonts w:hint="eastAsia" w:asciiTheme="minorEastAsia" w:hAnsiTheme="minorEastAsia" w:eastAsiaTheme="minorEastAsia"/>
          <w:b/>
          <w:kern w:val="0"/>
          <w:sz w:val="24"/>
        </w:rPr>
        <w:t xml:space="preserve">学位学分绩点要求: </w:t>
      </w:r>
      <w:r>
        <w:rPr>
          <w:rFonts w:hint="eastAsia" w:ascii="仿宋" w:hAnsi="仿宋" w:eastAsia="仿宋"/>
          <w:sz w:val="24"/>
        </w:rPr>
        <w:t>平均学分绩点≥2.0。</w:t>
      </w:r>
    </w:p>
    <w:p>
      <w:pPr>
        <w:spacing w:beforeLines="50" w:afterLines="50" w:line="336" w:lineRule="auto"/>
        <w:ind w:firstLine="477" w:firstLineChars="199"/>
        <w:rPr>
          <w:rFonts w:cs="宋体" w:asciiTheme="minorEastAsia" w:hAnsiTheme="minorEastAsia" w:eastAsiaTheme="minorEastAsia"/>
          <w:sz w:val="24"/>
        </w:rPr>
      </w:pPr>
    </w:p>
    <w:p>
      <w:pPr>
        <w:spacing w:beforeLines="50" w:afterLines="50" w:line="312" w:lineRule="auto"/>
        <w:outlineLvl w:val="0"/>
        <w:rPr>
          <w:rFonts w:ascii="仿宋" w:hAnsi="仿宋" w:eastAsia="仿宋"/>
          <w:b/>
          <w:bCs/>
          <w:sz w:val="24"/>
        </w:rPr>
      </w:pPr>
      <w:r>
        <w:rPr>
          <w:rFonts w:hint="eastAsia" w:cs="宋体" w:asciiTheme="minorEastAsia" w:hAnsiTheme="minorEastAsia" w:eastAsiaTheme="minorEastAsia"/>
          <w:b/>
          <w:bCs/>
          <w:sz w:val="28"/>
          <w:szCs w:val="28"/>
        </w:rPr>
        <w:t>五、课程结构和学分学时分布表</w:t>
      </w:r>
    </w:p>
    <w:tbl>
      <w:tblPr>
        <w:tblStyle w:val="4"/>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65"/>
        <w:gridCol w:w="720"/>
        <w:gridCol w:w="855"/>
        <w:gridCol w:w="1065"/>
        <w:gridCol w:w="999"/>
        <w:gridCol w:w="105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课程类别</w:t>
            </w:r>
          </w:p>
        </w:tc>
        <w:tc>
          <w:tcPr>
            <w:tcW w:w="76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学分</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学时</w:t>
            </w:r>
          </w:p>
        </w:tc>
        <w:tc>
          <w:tcPr>
            <w:tcW w:w="85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学时 比例（%）</w:t>
            </w:r>
          </w:p>
        </w:tc>
        <w:tc>
          <w:tcPr>
            <w:tcW w:w="20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课程性质</w:t>
            </w:r>
          </w:p>
        </w:tc>
        <w:tc>
          <w:tcPr>
            <w:tcW w:w="23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rPr>
            </w:pPr>
          </w:p>
        </w:tc>
        <w:tc>
          <w:tcPr>
            <w:tcW w:w="1065" w:type="dxa"/>
            <w:vMerge w:val="restart"/>
            <w:tcBorders>
              <w:top w:val="single" w:color="auto" w:sz="4" w:space="0"/>
              <w:left w:val="single" w:color="auto" w:sz="4" w:space="0"/>
              <w:right w:val="single" w:color="auto" w:sz="4" w:space="0"/>
            </w:tcBorders>
          </w:tcPr>
          <w:p>
            <w:pPr>
              <w:jc w:val="center"/>
              <w:rPr>
                <w:rFonts w:hint="eastAsia" w:ascii="仿宋" w:hAnsi="仿宋" w:eastAsia="仿宋" w:cs="仿宋"/>
                <w:sz w:val="24"/>
                <w:szCs w:val="24"/>
              </w:rPr>
            </w:pPr>
            <w:r>
              <w:rPr>
                <w:rFonts w:hint="eastAsia" w:ascii="仿宋" w:hAnsi="仿宋" w:eastAsia="仿宋" w:cs="仿宋"/>
                <w:sz w:val="24"/>
                <w:szCs w:val="24"/>
              </w:rPr>
              <w:t>必修课</w:t>
            </w:r>
          </w:p>
          <w:p>
            <w:pPr>
              <w:jc w:val="center"/>
              <w:rPr>
                <w:rFonts w:hint="eastAsia" w:ascii="仿宋" w:hAnsi="仿宋" w:eastAsia="仿宋" w:cs="仿宋"/>
                <w:sz w:val="24"/>
                <w:szCs w:val="24"/>
              </w:rPr>
            </w:pPr>
            <w:r>
              <w:rPr>
                <w:rFonts w:hint="eastAsia" w:ascii="仿宋" w:hAnsi="仿宋" w:eastAsia="仿宋" w:cs="仿宋"/>
                <w:sz w:val="24"/>
                <w:szCs w:val="24"/>
              </w:rPr>
              <w:t>学时</w:t>
            </w:r>
          </w:p>
        </w:tc>
        <w:tc>
          <w:tcPr>
            <w:tcW w:w="999" w:type="dxa"/>
            <w:vMerge w:val="restart"/>
            <w:tcBorders>
              <w:top w:val="single" w:color="auto" w:sz="4" w:space="0"/>
              <w:left w:val="single" w:color="auto" w:sz="4" w:space="0"/>
              <w:right w:val="single" w:color="auto" w:sz="4" w:space="0"/>
            </w:tcBorders>
          </w:tcPr>
          <w:p>
            <w:pPr>
              <w:jc w:val="center"/>
              <w:rPr>
                <w:rFonts w:hint="eastAsia" w:ascii="仿宋" w:hAnsi="仿宋" w:eastAsia="仿宋" w:cs="仿宋"/>
                <w:sz w:val="24"/>
                <w:szCs w:val="24"/>
              </w:rPr>
            </w:pPr>
            <w:r>
              <w:rPr>
                <w:rFonts w:hint="eastAsia" w:ascii="仿宋" w:hAnsi="仿宋" w:eastAsia="仿宋" w:cs="仿宋"/>
                <w:sz w:val="24"/>
                <w:szCs w:val="24"/>
              </w:rPr>
              <w:t>选修课</w:t>
            </w:r>
          </w:p>
          <w:p>
            <w:pPr>
              <w:jc w:val="center"/>
              <w:rPr>
                <w:rFonts w:hint="eastAsia" w:ascii="仿宋" w:hAnsi="仿宋" w:eastAsia="仿宋" w:cs="仿宋"/>
                <w:sz w:val="24"/>
                <w:szCs w:val="24"/>
              </w:rPr>
            </w:pPr>
            <w:r>
              <w:rPr>
                <w:rFonts w:hint="eastAsia" w:ascii="仿宋" w:hAnsi="仿宋" w:eastAsia="仿宋" w:cs="仿宋"/>
                <w:sz w:val="24"/>
                <w:szCs w:val="24"/>
              </w:rPr>
              <w:t>学时</w:t>
            </w:r>
          </w:p>
        </w:tc>
        <w:tc>
          <w:tcPr>
            <w:tcW w:w="1056" w:type="dxa"/>
            <w:vMerge w:val="restart"/>
            <w:tcBorders>
              <w:top w:val="single" w:color="auto" w:sz="4" w:space="0"/>
              <w:left w:val="single" w:color="auto" w:sz="4" w:space="0"/>
              <w:right w:val="single" w:color="auto" w:sz="4" w:space="0"/>
            </w:tcBorders>
          </w:tcPr>
          <w:p>
            <w:pPr>
              <w:jc w:val="center"/>
              <w:rPr>
                <w:rFonts w:hint="eastAsia" w:ascii="仿宋" w:hAnsi="仿宋" w:eastAsia="仿宋" w:cs="仿宋"/>
                <w:sz w:val="24"/>
                <w:szCs w:val="24"/>
              </w:rPr>
            </w:pPr>
            <w:r>
              <w:rPr>
                <w:rFonts w:hint="eastAsia" w:ascii="仿宋" w:hAnsi="仿宋" w:eastAsia="仿宋" w:cs="仿宋"/>
                <w:sz w:val="24"/>
                <w:szCs w:val="24"/>
              </w:rPr>
              <w:t>理论教学学时</w:t>
            </w:r>
          </w:p>
        </w:tc>
        <w:tc>
          <w:tcPr>
            <w:tcW w:w="1260" w:type="dxa"/>
            <w:vMerge w:val="restart"/>
            <w:tcBorders>
              <w:top w:val="single" w:color="auto" w:sz="4" w:space="0"/>
              <w:left w:val="single" w:color="auto" w:sz="4" w:space="0"/>
              <w:right w:val="single" w:color="auto" w:sz="4" w:space="0"/>
            </w:tcBorders>
          </w:tcPr>
          <w:p>
            <w:pPr>
              <w:jc w:val="center"/>
              <w:rPr>
                <w:rFonts w:hint="eastAsia" w:ascii="仿宋" w:hAnsi="仿宋" w:eastAsia="仿宋" w:cs="仿宋"/>
                <w:sz w:val="24"/>
                <w:szCs w:val="24"/>
              </w:rPr>
            </w:pPr>
            <w:r>
              <w:rPr>
                <w:rFonts w:hint="eastAsia" w:ascii="仿宋" w:hAnsi="仿宋" w:eastAsia="仿宋" w:cs="仿宋"/>
                <w:sz w:val="24"/>
                <w:szCs w:val="24"/>
              </w:rPr>
              <w:t>实践教学</w:t>
            </w:r>
          </w:p>
          <w:p>
            <w:pPr>
              <w:jc w:val="center"/>
              <w:rPr>
                <w:rFonts w:hint="eastAsia" w:ascii="仿宋" w:hAnsi="仿宋" w:eastAsia="仿宋" w:cs="仿宋"/>
                <w:sz w:val="24"/>
                <w:szCs w:val="24"/>
              </w:rPr>
            </w:pPr>
            <w:r>
              <w:rPr>
                <w:rFonts w:hint="eastAsia" w:ascii="仿宋" w:hAnsi="仿宋" w:eastAsia="仿宋" w:cs="仿宋"/>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67"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765"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720"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855"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065" w:type="dxa"/>
            <w:vMerge w:val="continue"/>
            <w:tcBorders>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tc>
        <w:tc>
          <w:tcPr>
            <w:tcW w:w="999" w:type="dxa"/>
            <w:vMerge w:val="continue"/>
            <w:tcBorders>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tc>
        <w:tc>
          <w:tcPr>
            <w:tcW w:w="1056" w:type="dxa"/>
            <w:vMerge w:val="continue"/>
            <w:tcBorders>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tc>
        <w:tc>
          <w:tcPr>
            <w:tcW w:w="1260" w:type="dxa"/>
            <w:vMerge w:val="continue"/>
            <w:tcBorders>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通识教育课</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62.5</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1096</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36.83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616</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480</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1008</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大类与专业基础课</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27</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432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14.52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432</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420</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专业主干课</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320</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10.75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320</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320</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专业方向课</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color w:val="C00000"/>
                <w:sz w:val="24"/>
                <w:szCs w:val="24"/>
                <w:lang w:val="en-US" w:eastAsia="zh-CN"/>
              </w:rPr>
              <w:t>13</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color w:val="FF0000"/>
                <w:sz w:val="24"/>
                <w:szCs w:val="24"/>
                <w:lang w:val="en-US" w:eastAsia="zh-CN"/>
              </w:rPr>
              <w:t>208</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color w:val="FF0000"/>
                <w:sz w:val="24"/>
                <w:szCs w:val="24"/>
                <w:lang w:val="en-US" w:eastAsia="zh-CN"/>
              </w:rPr>
              <w:t>6.99</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color w:val="FF0000"/>
                <w:sz w:val="24"/>
                <w:szCs w:val="24"/>
                <w:lang w:val="en-US" w:eastAsia="zh-CN"/>
              </w:rPr>
              <w:t>144</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64</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rPr>
              <w:t>1</w:t>
            </w:r>
            <w:r>
              <w:rPr>
                <w:rFonts w:hint="eastAsia" w:ascii="仿宋" w:hAnsi="仿宋" w:eastAsia="仿宋" w:cs="仿宋"/>
                <w:color w:val="FF0000"/>
                <w:sz w:val="24"/>
                <w:szCs w:val="24"/>
                <w:lang w:val="en-US" w:eastAsia="zh-CN"/>
              </w:rPr>
              <w:t>88</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个性发展课程</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2.5</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40</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1.34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40</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40</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集中实践环节</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color w:val="C00000"/>
                <w:sz w:val="24"/>
                <w:szCs w:val="24"/>
                <w:lang w:val="en-US" w:eastAsia="zh-CN"/>
              </w:rPr>
              <w:t>49</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784</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26.34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784</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0</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Cs/>
                <w:sz w:val="24"/>
                <w:szCs w:val="24"/>
              </w:rPr>
              <w:t>第二课堂</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96</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3.23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96</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合  计</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180</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2976</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100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2296</w:t>
            </w: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680</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14:textFill>
                  <w14:gradFill>
                    <w14:gsLst>
                      <w14:gs w14:pos="0">
                        <w14:srgbClr w14:val="FE4444"/>
                      </w14:gs>
                      <w14:gs w14:pos="100000">
                        <w14:srgbClr w14:val="832B2B"/>
                      </w14:gs>
                    </w14:gsLst>
                    <w14:lin w14:scaled="0"/>
                  </w14:gradFill>
                </w14:textFill>
              </w:rPr>
            </w:pPr>
            <w:r>
              <w:rPr>
                <w:rFonts w:hint="eastAsia" w:ascii="仿宋" w:hAnsi="仿宋" w:eastAsia="仿宋" w:cs="仿宋"/>
                <w:sz w:val="24"/>
                <w:szCs w:val="24"/>
                <w14:textFill>
                  <w14:gradFill>
                    <w14:gsLst>
                      <w14:gs w14:pos="0">
                        <w14:srgbClr w14:val="FE4444"/>
                      </w14:gs>
                      <w14:gs w14:pos="100000">
                        <w14:srgbClr w14:val="832B2B"/>
                      </w14:gs>
                    </w14:gsLst>
                    <w14:lin w14:scaled="0"/>
                  </w14:gradFill>
                </w14:textFill>
              </w:rPr>
              <w:t>19</w:t>
            </w:r>
            <w:r>
              <w:rPr>
                <w:rFonts w:hint="eastAsia" w:ascii="仿宋" w:hAnsi="仿宋" w:eastAsia="仿宋" w:cs="仿宋"/>
                <w:sz w:val="24"/>
                <w:szCs w:val="24"/>
                <w:lang w:val="en-US" w:eastAsia="zh-CN"/>
                <w14:textFill>
                  <w14:gradFill>
                    <w14:gsLst>
                      <w14:gs w14:pos="0">
                        <w14:srgbClr w14:val="FE4444"/>
                      </w14:gs>
                      <w14:gs w14:pos="100000">
                        <w14:srgbClr w14:val="832B2B"/>
                      </w14:gs>
                    </w14:gsLst>
                    <w14:lin w14:scaled="0"/>
                  </w14:gradFill>
                </w14:textFill>
              </w:rPr>
              <w:t>76</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14:textFill>
                  <w14:gradFill>
                    <w14:gsLst>
                      <w14:gs w14:pos="0">
                        <w14:srgbClr w14:val="FE4444"/>
                      </w14:gs>
                      <w14:gs w14:pos="100000">
                        <w14:srgbClr w14:val="832B2B"/>
                      </w14:gs>
                    </w14:gsLst>
                    <w14:lin w14:scaled="0"/>
                  </w14:gradFill>
                </w14:textFill>
              </w:rPr>
            </w:pPr>
            <w:r>
              <w:rPr>
                <w:rFonts w:hint="eastAsia" w:ascii="仿宋" w:hAnsi="仿宋" w:eastAsia="仿宋" w:cs="仿宋"/>
                <w:sz w:val="24"/>
                <w:szCs w:val="24"/>
                <w:lang w:val="en-US" w:eastAsia="zh-CN"/>
                <w14:textFill>
                  <w14:gradFill>
                    <w14:gsLst>
                      <w14:gs w14:pos="0">
                        <w14:srgbClr w14:val="FE4444"/>
                      </w14:gs>
                      <w14:gs w14:pos="100000">
                        <w14:srgbClr w14:val="832B2B"/>
                      </w14:gs>
                    </w14:gsLst>
                    <w14:lin w14:scaled="0"/>
                  </w14:gradFill>
                </w14:textFill>
              </w:rPr>
              <w:t>1000</w:t>
            </w:r>
          </w:p>
        </w:tc>
      </w:tr>
    </w:tbl>
    <w:p>
      <w:pPr>
        <w:spacing w:line="400" w:lineRule="atLeast"/>
        <w:rPr>
          <w:rFonts w:asciiTheme="minorEastAsia" w:hAnsiTheme="minorEastAsia" w:eastAsiaTheme="minorEastAsia"/>
          <w:sz w:val="24"/>
        </w:rPr>
      </w:pPr>
    </w:p>
    <w:p>
      <w:pPr>
        <w:spacing w:line="400" w:lineRule="atLeast"/>
        <w:outlineLvl w:val="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六、专业指导性教学计划</w:t>
      </w:r>
      <w:bookmarkStart w:id="1" w:name="_GoBack"/>
      <w:bookmarkEnd w:id="1"/>
    </w:p>
    <w:p>
      <w:pPr>
        <w:spacing w:line="400" w:lineRule="atLeast"/>
        <w:outlineLvl w:val="0"/>
        <w:rPr>
          <w:rFonts w:cs="宋体" w:asciiTheme="minorEastAsia" w:hAnsiTheme="minorEastAsia" w:eastAsiaTheme="minorEastAsia"/>
          <w:b/>
          <w:bCs/>
          <w:sz w:val="24"/>
        </w:rPr>
      </w:pPr>
    </w:p>
    <w:sectPr>
      <w:headerReference r:id="rId3" w:type="default"/>
      <w:pgSz w:w="11906" w:h="16838"/>
      <w:pgMar w:top="1701" w:right="1701" w:bottom="1701"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B2C4DC"/>
    <w:multiLevelType w:val="singleLevel"/>
    <w:tmpl w:val="D7B2C4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AE5281E"/>
    <w:rsid w:val="000546C9"/>
    <w:rsid w:val="001405F0"/>
    <w:rsid w:val="00265584"/>
    <w:rsid w:val="00293BED"/>
    <w:rsid w:val="002A55EE"/>
    <w:rsid w:val="00701A83"/>
    <w:rsid w:val="00763AAD"/>
    <w:rsid w:val="00806B8C"/>
    <w:rsid w:val="009400CC"/>
    <w:rsid w:val="009D6418"/>
    <w:rsid w:val="00A02F62"/>
    <w:rsid w:val="00AC3AAF"/>
    <w:rsid w:val="00BB1FB0"/>
    <w:rsid w:val="00C3109A"/>
    <w:rsid w:val="00D84E49"/>
    <w:rsid w:val="00DB41D8"/>
    <w:rsid w:val="00F574DC"/>
    <w:rsid w:val="03B85CC9"/>
    <w:rsid w:val="08D240C2"/>
    <w:rsid w:val="0AED3860"/>
    <w:rsid w:val="0BA211CD"/>
    <w:rsid w:val="0D184A90"/>
    <w:rsid w:val="0FB13874"/>
    <w:rsid w:val="12B826DA"/>
    <w:rsid w:val="1E953885"/>
    <w:rsid w:val="1FFE4DF0"/>
    <w:rsid w:val="227E615A"/>
    <w:rsid w:val="241F0093"/>
    <w:rsid w:val="28C6115F"/>
    <w:rsid w:val="2C0A7DD6"/>
    <w:rsid w:val="2C162740"/>
    <w:rsid w:val="38D50DEB"/>
    <w:rsid w:val="39C319DE"/>
    <w:rsid w:val="3E05224E"/>
    <w:rsid w:val="40041846"/>
    <w:rsid w:val="45297167"/>
    <w:rsid w:val="46E76BE4"/>
    <w:rsid w:val="496F013B"/>
    <w:rsid w:val="4A2267F1"/>
    <w:rsid w:val="4F3831BF"/>
    <w:rsid w:val="54522DFB"/>
    <w:rsid w:val="5684452F"/>
    <w:rsid w:val="5AE5281E"/>
    <w:rsid w:val="5B1A31E8"/>
    <w:rsid w:val="5D6270F1"/>
    <w:rsid w:val="5F195EEB"/>
    <w:rsid w:val="625A7A0D"/>
    <w:rsid w:val="6357555A"/>
    <w:rsid w:val="695D256B"/>
    <w:rsid w:val="6CEE50DE"/>
    <w:rsid w:val="6E3A7325"/>
    <w:rsid w:val="71672CF7"/>
    <w:rsid w:val="73CB7279"/>
    <w:rsid w:val="78E77AB9"/>
    <w:rsid w:val="7A461E4A"/>
    <w:rsid w:val="7AC645BB"/>
    <w:rsid w:val="7B3008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504</Words>
  <Characters>2875</Characters>
  <Lines>23</Lines>
  <Paragraphs>6</Paragraphs>
  <TotalTime>22</TotalTime>
  <ScaleCrop>false</ScaleCrop>
  <LinksUpToDate>false</LinksUpToDate>
  <CharactersWithSpaces>3373</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2019-01-12T06:08:00Z</dcterms:created>
  <dc:creator>lu</dc:creator>
  <cp:lastModifiedBy>Administrator</cp:lastModifiedBy>
  <cp:lastPrinted>2019-01-15T02:47:00Z</cp:lastPrinted>
  <dcterms:modified xsi:type="dcterms:W3CDTF">2020-06-09T12:27:43Z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y fmtid="{D5CDD505-2E9C-101B-9397-08002B2CF9AE}" pid="3" name="KSORubyTemplateID" linkTarget="0">
    <vt:lpwstr>6</vt:lpwstr>
  </property>
</Properties>
</file>